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1AC6D">
      <w:pPr>
        <w:widowControl/>
        <w:spacing w:before="100" w:beforeAutospacing="1" w:after="100" w:afterAutospacing="1"/>
        <w:jc w:val="center"/>
        <w:outlineLvl w:val="2"/>
        <w:rPr>
          <w:rFonts w:hint="eastAsia" w:ascii="方正小标宋简体" w:hAnsi="方正小标宋简体" w:eastAsia="方正小标宋简体" w:cs="方正小标宋简体"/>
          <w:b/>
          <w:bCs/>
          <w:kern w:val="0"/>
          <w:sz w:val="32"/>
          <w:szCs w:val="32"/>
        </w:rPr>
      </w:pPr>
      <w:r>
        <w:rPr>
          <w:rFonts w:hint="eastAsia" w:ascii="方正小标宋简体" w:hAnsi="方正小标宋简体" w:eastAsia="方正小标宋简体" w:cs="方正小标宋简体"/>
          <w:b/>
          <w:bCs/>
          <w:kern w:val="0"/>
          <w:sz w:val="32"/>
          <w:szCs w:val="32"/>
        </w:rPr>
        <w:t>关于举办石河子大学202</w:t>
      </w:r>
      <w:r>
        <w:rPr>
          <w:rFonts w:hint="eastAsia" w:ascii="方正小标宋简体" w:hAnsi="方正小标宋简体" w:eastAsia="方正小标宋简体" w:cs="方正小标宋简体"/>
          <w:b/>
          <w:bCs/>
          <w:kern w:val="0"/>
          <w:sz w:val="32"/>
          <w:szCs w:val="32"/>
          <w:lang w:val="en-US" w:eastAsia="zh-CN"/>
        </w:rPr>
        <w:t>5</w:t>
      </w:r>
      <w:r>
        <w:rPr>
          <w:rFonts w:hint="eastAsia" w:ascii="方正小标宋简体" w:hAnsi="方正小标宋简体" w:eastAsia="方正小标宋简体" w:cs="方正小标宋简体"/>
          <w:b/>
          <w:bCs/>
          <w:kern w:val="0"/>
          <w:sz w:val="32"/>
          <w:szCs w:val="32"/>
        </w:rPr>
        <w:t>年青年教师教学竞赛的通知</w:t>
      </w:r>
    </w:p>
    <w:p w14:paraId="4F16C37F">
      <w:pPr>
        <w:keepNext w:val="0"/>
        <w:keepLines w:val="0"/>
        <w:pageBreakBefore w:val="0"/>
        <w:widowControl/>
        <w:kinsoku/>
        <w:wordWrap/>
        <w:overflowPunct/>
        <w:topLinePunct w:val="0"/>
        <w:autoSpaceDN/>
        <w:bidi w:val="0"/>
        <w:adjustRightInd/>
        <w:spacing w:line="360" w:lineRule="auto"/>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kern w:val="0"/>
          <w:sz w:val="28"/>
          <w:szCs w:val="28"/>
        </w:rPr>
        <w:t>各</w:t>
      </w:r>
      <w:r>
        <w:rPr>
          <w:rFonts w:hint="eastAsia" w:ascii="方正仿宋_GB2312" w:hAnsi="方正仿宋_GB2312" w:eastAsia="方正仿宋_GB2312" w:cs="方正仿宋_GB2312"/>
          <w:color w:val="000000" w:themeColor="text1"/>
          <w:kern w:val="0"/>
          <w:sz w:val="28"/>
          <w:szCs w:val="28"/>
          <w:lang w:val="en-US" w:eastAsia="zh-CN"/>
          <w14:textFill>
            <w14:solidFill>
              <w14:schemeClr w14:val="tx1"/>
            </w14:solidFill>
          </w14:textFill>
        </w:rPr>
        <w:t>教学单位</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w:t>
      </w:r>
    </w:p>
    <w:p w14:paraId="70CFF25C">
      <w:pPr>
        <w:keepNext w:val="0"/>
        <w:keepLines w:val="0"/>
        <w:pageBreakBefore w:val="0"/>
        <w:widowControl/>
        <w:kinsoku/>
        <w:wordWrap/>
        <w:overflowPunct/>
        <w:topLinePunct w:val="0"/>
        <w:autoSpaceDN/>
        <w:bidi w:val="0"/>
        <w:adjustRightInd/>
        <w:spacing w:line="360" w:lineRule="auto"/>
        <w:ind w:firstLine="360"/>
        <w:jc w:val="left"/>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为深入贯彻落实全国教育大会精神及中共中央、国务院《关于全面深化新时代教师队伍建设改革的意见》要求</w:t>
      </w:r>
      <w:r>
        <w:rPr>
          <w:rFonts w:hint="eastAsia" w:ascii="方正仿宋_GB2312" w:hAnsi="方正仿宋_GB2312" w:eastAsia="方正仿宋_GB2312" w:cs="方正仿宋_GB2312"/>
          <w:color w:val="000000" w:themeColor="text1"/>
          <w:kern w:val="0"/>
          <w:sz w:val="28"/>
          <w:szCs w:val="28"/>
          <w:lang w:eastAsia="zh-CN"/>
          <w14:textFill>
            <w14:solidFill>
              <w14:schemeClr w14:val="tx1"/>
            </w14:solidFill>
          </w14:textFill>
        </w:rPr>
        <w:t>，进一步推动高校青年教师队伍建设，</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提升我校青年教师教书育人能力和水平</w:t>
      </w:r>
      <w:r>
        <w:rPr>
          <w:rFonts w:hint="eastAsia" w:ascii="方正仿宋_GB2312" w:hAnsi="方正仿宋_GB2312" w:eastAsia="方正仿宋_GB2312" w:cs="方正仿宋_GB2312"/>
          <w:color w:val="000000" w:themeColor="text1"/>
          <w:kern w:val="0"/>
          <w:sz w:val="28"/>
          <w:szCs w:val="28"/>
          <w:lang w:eastAsia="zh-CN"/>
          <w14:textFill>
            <w14:solidFill>
              <w14:schemeClr w14:val="tx1"/>
            </w14:solidFill>
          </w14:textFill>
        </w:rPr>
        <w:t>，</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根据《石河子大学教师教学竞赛活动实施办法》，学</w:t>
      </w:r>
      <w:r>
        <w:rPr>
          <w:rFonts w:hint="eastAsia" w:ascii="方正仿宋_GB2312" w:hAnsi="方正仿宋_GB2312" w:eastAsia="方正仿宋_GB2312" w:cs="方正仿宋_GB2312"/>
          <w:color w:val="000000" w:themeColor="text1"/>
          <w:sz w:val="28"/>
          <w:szCs w:val="28"/>
          <w14:textFill>
            <w14:solidFill>
              <w14:schemeClr w14:val="tx1"/>
            </w14:solidFill>
          </w14:textFill>
        </w:rPr>
        <w:t>校决定组织开展202</w:t>
      </w:r>
      <w:r>
        <w:rPr>
          <w:rFonts w:hint="eastAsia" w:ascii="方正仿宋_GB2312" w:hAnsi="方正仿宋_GB2312" w:eastAsia="方正仿宋_GB2312" w:cs="方正仿宋_GB2312"/>
          <w:color w:val="000000" w:themeColor="text1"/>
          <w:sz w:val="28"/>
          <w:szCs w:val="28"/>
          <w:lang w:val="en-US" w:eastAsia="zh-CN"/>
          <w14:textFill>
            <w14:solidFill>
              <w14:schemeClr w14:val="tx1"/>
            </w14:solidFill>
          </w14:textFill>
        </w:rPr>
        <w:t>5</w:t>
      </w:r>
      <w:r>
        <w:rPr>
          <w:rFonts w:hint="eastAsia" w:ascii="方正仿宋_GB2312" w:hAnsi="方正仿宋_GB2312" w:eastAsia="方正仿宋_GB2312" w:cs="方正仿宋_GB2312"/>
          <w:color w:val="000000" w:themeColor="text1"/>
          <w:sz w:val="28"/>
          <w:szCs w:val="28"/>
          <w14:textFill>
            <w14:solidFill>
              <w14:schemeClr w14:val="tx1"/>
            </w14:solidFill>
          </w14:textFill>
        </w:rPr>
        <w:t>年青年教师教学竞赛，现将具体事项通知如下：</w:t>
      </w:r>
    </w:p>
    <w:p w14:paraId="1BEF34F2">
      <w:pPr>
        <w:keepNext w:val="0"/>
        <w:keepLines w:val="0"/>
        <w:pageBreakBefore w:val="0"/>
        <w:kinsoku/>
        <w:wordWrap/>
        <w:overflowPunct/>
        <w:topLinePunct w:val="0"/>
        <w:autoSpaceDE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一、竞赛宗旨</w:t>
      </w:r>
    </w:p>
    <w:p w14:paraId="76070E7E">
      <w:pPr>
        <w:keepNext w:val="0"/>
        <w:keepLines w:val="0"/>
        <w:pageBreakBefore w:val="0"/>
        <w:widowControl w:val="0"/>
        <w:kinsoku/>
        <w:wordWrap/>
        <w:overflowPunct/>
        <w:topLinePunct w:val="0"/>
        <w:autoSpaceDE w:val="0"/>
        <w:autoSpaceDN/>
        <w:bidi w:val="0"/>
        <w:adjustRightInd/>
        <w:snapToGrid w:val="0"/>
        <w:spacing w:line="360" w:lineRule="auto"/>
        <w:ind w:firstLine="560"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围绕立德树人根本任务</w:t>
      </w:r>
      <w:r>
        <w:rPr>
          <w:rFonts w:hint="eastAsia" w:ascii="方正仿宋_GB2312" w:hAnsi="方正仿宋_GB2312" w:eastAsia="方正仿宋_GB2312" w:cs="方正仿宋_GB2312"/>
          <w:color w:val="000000" w:themeColor="text1"/>
          <w:kern w:val="0"/>
          <w:sz w:val="28"/>
          <w:szCs w:val="28"/>
          <w:lang w:eastAsia="zh-CN"/>
          <w14:textFill>
            <w14:solidFill>
              <w14:schemeClr w14:val="tx1"/>
            </w14:solidFill>
          </w14:textFill>
        </w:rPr>
        <w:t>，</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以加强师德师风建设、锤炼教学基本功为着力点，充分发挥教学竞赛在提高教师队伍素质中的示范引领作用，进一步激发广大高校青年教师更新教育理念和掌握现代教学方法的热情，努力造就一支有理想信念、有道德情操、有扎实学识、有仁爱之心的高素质、专业化教师队伍，推动我国高等教育现代化发展。</w:t>
      </w:r>
    </w:p>
    <w:p w14:paraId="5CC39659">
      <w:pPr>
        <w:keepNext w:val="0"/>
        <w:keepLines w:val="0"/>
        <w:pageBreakBefore w:val="0"/>
        <w:widowControl w:val="0"/>
        <w:kinsoku/>
        <w:wordWrap/>
        <w:overflowPunct/>
        <w:topLinePunct w:val="0"/>
        <w:autoSpaceDE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二、竞赛学科和参赛对象</w:t>
      </w:r>
    </w:p>
    <w:p w14:paraId="53C71E66">
      <w:pPr>
        <w:pStyle w:val="15"/>
        <w:keepNext w:val="0"/>
        <w:keepLines w:val="0"/>
        <w:pageBreakBefore w:val="0"/>
        <w:kinsoku/>
        <w:wordWrap/>
        <w:overflowPunct/>
        <w:topLinePunct w:val="0"/>
        <w:autoSpaceDN/>
        <w:bidi w:val="0"/>
        <w:adjustRightInd/>
        <w:spacing w:before="0" w:beforeAutospacing="0" w:after="0" w:afterAutospacing="0" w:line="360" w:lineRule="auto"/>
        <w:ind w:firstLine="600"/>
        <w:jc w:val="both"/>
        <w:textAlignment w:val="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sz w:val="28"/>
          <w:szCs w:val="28"/>
          <w14:textFill>
            <w14:solidFill>
              <w14:schemeClr w14:val="tx1"/>
            </w14:solidFill>
          </w14:textFill>
        </w:rPr>
        <w:t>（一）本次竞赛共</w:t>
      </w:r>
      <w:r>
        <w:rPr>
          <w:rFonts w:hint="eastAsia" w:ascii="方正仿宋_GB2312" w:hAnsi="方正仿宋_GB2312" w:eastAsia="方正仿宋_GB2312" w:cs="方正仿宋_GB2312"/>
          <w:b/>
          <w:bCs/>
          <w:color w:val="000000" w:themeColor="text1"/>
          <w:sz w:val="28"/>
          <w:szCs w:val="28"/>
          <w:lang w:val="en-US" w:eastAsia="zh-CN"/>
          <w14:textFill>
            <w14:solidFill>
              <w14:schemeClr w14:val="tx1"/>
            </w14:solidFill>
          </w14:textFill>
        </w:rPr>
        <w:t>五</w:t>
      </w:r>
      <w:r>
        <w:rPr>
          <w:rFonts w:hint="eastAsia" w:ascii="方正仿宋_GB2312" w:hAnsi="方正仿宋_GB2312" w:eastAsia="方正仿宋_GB2312" w:cs="方正仿宋_GB2312"/>
          <w:b/>
          <w:bCs/>
          <w:color w:val="000000" w:themeColor="text1"/>
          <w:sz w:val="28"/>
          <w:szCs w:val="28"/>
          <w14:textFill>
            <w14:solidFill>
              <w14:schemeClr w14:val="tx1"/>
            </w14:solidFill>
          </w14:textFill>
        </w:rPr>
        <w:t>个组别：</w:t>
      </w:r>
    </w:p>
    <w:p w14:paraId="1E9E5B61">
      <w:pPr>
        <w:keepNext w:val="0"/>
        <w:keepLines w:val="0"/>
        <w:pageBreakBefore w:val="0"/>
        <w:widowControl/>
        <w:kinsoku/>
        <w:wordWrap/>
        <w:overflowPunct/>
        <w:topLinePunct w:val="0"/>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color w:val="000000" w:themeColor="text1"/>
          <w:sz w:val="28"/>
          <w:szCs w:val="28"/>
          <w14:textFill>
            <w14:solidFill>
              <w14:schemeClr w14:val="tx1"/>
            </w14:solidFill>
          </w14:textFill>
        </w:rPr>
        <w:t>第一组为文科（含</w:t>
      </w:r>
      <w:r>
        <w:rPr>
          <w:rFonts w:hint="eastAsia" w:ascii="方正仿宋_GB2312" w:hAnsi="方正仿宋_GB2312" w:eastAsia="方正仿宋_GB2312" w:cs="方正仿宋_GB2312"/>
          <w:color w:val="000000" w:themeColor="text1"/>
          <w:sz w:val="28"/>
          <w:szCs w:val="28"/>
          <w:lang w:val="en-US" w:eastAsia="zh-CN"/>
          <w14:textFill>
            <w14:solidFill>
              <w14:schemeClr w14:val="tx1"/>
            </w14:solidFill>
          </w14:textFill>
        </w:rPr>
        <w:t>01</w:t>
      </w:r>
      <w:r>
        <w:rPr>
          <w:rFonts w:hint="eastAsia" w:ascii="方正仿宋_GB2312" w:hAnsi="方正仿宋_GB2312" w:eastAsia="方正仿宋_GB2312" w:cs="方正仿宋_GB2312"/>
          <w:color w:val="000000" w:themeColor="text1"/>
          <w:sz w:val="28"/>
          <w:szCs w:val="28"/>
          <w14:textFill>
            <w14:solidFill>
              <w14:schemeClr w14:val="tx1"/>
            </w14:solidFill>
          </w14:textFill>
        </w:rPr>
        <w:t>哲学</w:t>
      </w:r>
      <w:r>
        <w:rPr>
          <w:rFonts w:hint="eastAsia" w:ascii="方正仿宋_GB2312" w:hAnsi="方正仿宋_GB2312" w:eastAsia="方正仿宋_GB2312" w:cs="方正仿宋_GB2312"/>
          <w:color w:val="000000" w:themeColor="text1"/>
          <w:sz w:val="28"/>
          <w:szCs w:val="28"/>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28"/>
          <w:szCs w:val="28"/>
          <w14:textFill>
            <w14:solidFill>
              <w14:schemeClr w14:val="tx1"/>
            </w14:solidFill>
          </w14:textFill>
        </w:rPr>
        <w:t>02经济学</w:t>
      </w:r>
      <w:r>
        <w:rPr>
          <w:rFonts w:hint="eastAsia" w:ascii="方正仿宋_GB2312" w:hAnsi="方正仿宋_GB2312" w:eastAsia="方正仿宋_GB2312" w:cs="方正仿宋_GB2312"/>
          <w:color w:val="000000" w:themeColor="text1"/>
          <w:sz w:val="28"/>
          <w:szCs w:val="28"/>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28"/>
          <w:szCs w:val="28"/>
          <w14:textFill>
            <w14:solidFill>
              <w14:schemeClr w14:val="tx1"/>
            </w14:solidFill>
          </w14:textFill>
        </w:rPr>
        <w:t>03法学</w:t>
      </w:r>
      <w:r>
        <w:rPr>
          <w:rFonts w:hint="eastAsia" w:ascii="方正仿宋_GB2312" w:hAnsi="方正仿宋_GB2312" w:eastAsia="方正仿宋_GB2312" w:cs="方正仿宋_GB2312"/>
          <w:color w:val="000000" w:themeColor="text1"/>
          <w:sz w:val="28"/>
          <w:szCs w:val="28"/>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28"/>
          <w:szCs w:val="28"/>
          <w14:textFill>
            <w14:solidFill>
              <w14:schemeClr w14:val="tx1"/>
            </w14:solidFill>
          </w14:textFill>
        </w:rPr>
        <w:t>04教育学</w:t>
      </w:r>
      <w:r>
        <w:rPr>
          <w:rFonts w:hint="eastAsia" w:ascii="方正仿宋_GB2312" w:hAnsi="方正仿宋_GB2312" w:eastAsia="方正仿宋_GB2312" w:cs="方正仿宋_GB2312"/>
          <w:color w:val="000000" w:themeColor="text1"/>
          <w:sz w:val="28"/>
          <w:szCs w:val="28"/>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28"/>
          <w:szCs w:val="28"/>
          <w14:textFill>
            <w14:solidFill>
              <w14:schemeClr w14:val="tx1"/>
            </w14:solidFill>
          </w14:textFill>
        </w:rPr>
        <w:t>05文学</w:t>
      </w:r>
      <w:r>
        <w:rPr>
          <w:rFonts w:hint="eastAsia" w:ascii="方正仿宋_GB2312" w:hAnsi="方正仿宋_GB2312" w:eastAsia="方正仿宋_GB2312" w:cs="方正仿宋_GB2312"/>
          <w:color w:val="000000" w:themeColor="text1"/>
          <w:sz w:val="28"/>
          <w:szCs w:val="28"/>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28"/>
          <w:szCs w:val="28"/>
          <w14:textFill>
            <w14:solidFill>
              <w14:schemeClr w14:val="tx1"/>
            </w14:solidFill>
          </w14:textFill>
        </w:rPr>
        <w:t>06历史学</w:t>
      </w:r>
      <w:r>
        <w:rPr>
          <w:rFonts w:hint="eastAsia" w:ascii="方正仿宋_GB2312" w:hAnsi="方正仿宋_GB2312" w:eastAsia="方正仿宋_GB2312" w:cs="方正仿宋_GB2312"/>
          <w:color w:val="000000" w:themeColor="text1"/>
          <w:sz w:val="28"/>
          <w:szCs w:val="28"/>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28"/>
          <w:szCs w:val="28"/>
          <w14:textFill>
            <w14:solidFill>
              <w14:schemeClr w14:val="tx1"/>
            </w14:solidFill>
          </w14:textFill>
        </w:rPr>
        <w:t>12管理学</w:t>
      </w:r>
      <w:r>
        <w:rPr>
          <w:rFonts w:hint="eastAsia" w:ascii="方正仿宋_GB2312" w:hAnsi="方正仿宋_GB2312" w:eastAsia="方正仿宋_GB2312" w:cs="方正仿宋_GB2312"/>
          <w:color w:val="000000" w:themeColor="text1"/>
          <w:sz w:val="28"/>
          <w:szCs w:val="28"/>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28"/>
          <w:szCs w:val="28"/>
          <w14:textFill>
            <w14:solidFill>
              <w14:schemeClr w14:val="tx1"/>
            </w14:solidFill>
          </w14:textFill>
        </w:rPr>
        <w:t>13艺术学）；</w:t>
      </w:r>
    </w:p>
    <w:p w14:paraId="740339D7">
      <w:pPr>
        <w:keepNext w:val="0"/>
        <w:keepLines w:val="0"/>
        <w:pageBreakBefore w:val="0"/>
        <w:widowControl/>
        <w:kinsoku/>
        <w:wordWrap/>
        <w:overflowPunct/>
        <w:topLinePunct w:val="0"/>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color w:val="000000" w:themeColor="text1"/>
          <w:sz w:val="28"/>
          <w:szCs w:val="28"/>
          <w14:textFill>
            <w14:solidFill>
              <w14:schemeClr w14:val="tx1"/>
            </w14:solidFill>
          </w14:textFill>
        </w:rPr>
        <w:t>第二组为理科（含</w:t>
      </w:r>
      <w:r>
        <w:rPr>
          <w:rFonts w:hint="eastAsia" w:ascii="方正仿宋_GB2312" w:hAnsi="方正仿宋_GB2312" w:eastAsia="方正仿宋_GB2312" w:cs="方正仿宋_GB2312"/>
          <w:color w:val="000000" w:themeColor="text1"/>
          <w:sz w:val="28"/>
          <w:szCs w:val="28"/>
          <w:lang w:val="en-US" w:eastAsia="zh-CN"/>
          <w14:textFill>
            <w14:solidFill>
              <w14:schemeClr w14:val="tx1"/>
            </w14:solidFill>
          </w14:textFill>
        </w:rPr>
        <w:t>07</w:t>
      </w:r>
      <w:r>
        <w:rPr>
          <w:rFonts w:hint="eastAsia" w:ascii="方正仿宋_GB2312" w:hAnsi="方正仿宋_GB2312" w:eastAsia="方正仿宋_GB2312" w:cs="方正仿宋_GB2312"/>
          <w:color w:val="000000" w:themeColor="text1"/>
          <w:sz w:val="28"/>
          <w:szCs w:val="28"/>
          <w14:textFill>
            <w14:solidFill>
              <w14:schemeClr w14:val="tx1"/>
            </w14:solidFill>
          </w14:textFill>
        </w:rPr>
        <w:t>理学）；</w:t>
      </w:r>
    </w:p>
    <w:p w14:paraId="61733E14">
      <w:pPr>
        <w:keepNext w:val="0"/>
        <w:keepLines w:val="0"/>
        <w:pageBreakBefore w:val="0"/>
        <w:widowControl/>
        <w:kinsoku/>
        <w:wordWrap/>
        <w:overflowPunct/>
        <w:topLinePunct w:val="0"/>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color w:val="000000" w:themeColor="text1"/>
          <w:sz w:val="28"/>
          <w:szCs w:val="28"/>
          <w14:textFill>
            <w14:solidFill>
              <w14:schemeClr w14:val="tx1"/>
            </w14:solidFill>
          </w14:textFill>
        </w:rPr>
        <w:t>第三组为工科（含</w:t>
      </w:r>
      <w:r>
        <w:rPr>
          <w:rFonts w:hint="eastAsia" w:ascii="方正仿宋_GB2312" w:hAnsi="方正仿宋_GB2312" w:eastAsia="方正仿宋_GB2312" w:cs="方正仿宋_GB2312"/>
          <w:color w:val="000000" w:themeColor="text1"/>
          <w:sz w:val="28"/>
          <w:szCs w:val="28"/>
          <w:lang w:val="en-US" w:eastAsia="zh-CN"/>
          <w14:textFill>
            <w14:solidFill>
              <w14:schemeClr w14:val="tx1"/>
            </w14:solidFill>
          </w14:textFill>
        </w:rPr>
        <w:t>08</w:t>
      </w:r>
      <w:r>
        <w:rPr>
          <w:rFonts w:hint="eastAsia" w:ascii="方正仿宋_GB2312" w:hAnsi="方正仿宋_GB2312" w:eastAsia="方正仿宋_GB2312" w:cs="方正仿宋_GB2312"/>
          <w:color w:val="000000" w:themeColor="text1"/>
          <w:sz w:val="28"/>
          <w:szCs w:val="28"/>
          <w14:textFill>
            <w14:solidFill>
              <w14:schemeClr w14:val="tx1"/>
            </w14:solidFill>
          </w14:textFill>
        </w:rPr>
        <w:t>工学</w:t>
      </w:r>
      <w:r>
        <w:rPr>
          <w:rFonts w:hint="eastAsia" w:ascii="方正仿宋_GB2312" w:hAnsi="方正仿宋_GB2312" w:eastAsia="方正仿宋_GB2312" w:cs="方正仿宋_GB2312"/>
          <w:color w:val="000000" w:themeColor="text1"/>
          <w:sz w:val="28"/>
          <w:szCs w:val="28"/>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28"/>
          <w:szCs w:val="28"/>
          <w:lang w:val="en-US" w:eastAsia="zh-CN"/>
          <w14:textFill>
            <w14:solidFill>
              <w14:schemeClr w14:val="tx1"/>
            </w14:solidFill>
          </w14:textFill>
        </w:rPr>
        <w:t>09</w:t>
      </w:r>
      <w:r>
        <w:rPr>
          <w:rFonts w:hint="eastAsia" w:ascii="方正仿宋_GB2312" w:hAnsi="方正仿宋_GB2312" w:eastAsia="方正仿宋_GB2312" w:cs="方正仿宋_GB2312"/>
          <w:color w:val="000000" w:themeColor="text1"/>
          <w:sz w:val="28"/>
          <w:szCs w:val="28"/>
          <w14:textFill>
            <w14:solidFill>
              <w14:schemeClr w14:val="tx1"/>
            </w14:solidFill>
          </w14:textFill>
        </w:rPr>
        <w:t>农学）；</w:t>
      </w:r>
    </w:p>
    <w:p w14:paraId="1272ECC5">
      <w:pPr>
        <w:keepNext w:val="0"/>
        <w:keepLines w:val="0"/>
        <w:pageBreakBefore w:val="0"/>
        <w:widowControl/>
        <w:kinsoku/>
        <w:wordWrap/>
        <w:overflowPunct/>
        <w:topLinePunct w:val="0"/>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color w:val="000000" w:themeColor="text1"/>
          <w:sz w:val="28"/>
          <w:szCs w:val="28"/>
          <w14:textFill>
            <w14:solidFill>
              <w14:schemeClr w14:val="tx1"/>
            </w14:solidFill>
          </w14:textFill>
        </w:rPr>
        <w:t>第四组为医科（含</w:t>
      </w:r>
      <w:r>
        <w:rPr>
          <w:rFonts w:hint="eastAsia" w:ascii="方正仿宋_GB2312" w:hAnsi="方正仿宋_GB2312" w:eastAsia="方正仿宋_GB2312" w:cs="方正仿宋_GB2312"/>
          <w:color w:val="000000" w:themeColor="text1"/>
          <w:sz w:val="28"/>
          <w:szCs w:val="28"/>
          <w:lang w:val="en-US" w:eastAsia="zh-CN"/>
          <w14:textFill>
            <w14:solidFill>
              <w14:schemeClr w14:val="tx1"/>
            </w14:solidFill>
          </w14:textFill>
        </w:rPr>
        <w:t>10</w:t>
      </w:r>
      <w:r>
        <w:rPr>
          <w:rFonts w:hint="eastAsia" w:ascii="方正仿宋_GB2312" w:hAnsi="方正仿宋_GB2312" w:eastAsia="方正仿宋_GB2312" w:cs="方正仿宋_GB2312"/>
          <w:color w:val="000000" w:themeColor="text1"/>
          <w:sz w:val="28"/>
          <w:szCs w:val="28"/>
          <w14:textFill>
            <w14:solidFill>
              <w14:schemeClr w14:val="tx1"/>
            </w14:solidFill>
          </w14:textFill>
        </w:rPr>
        <w:t>医学）；</w:t>
      </w:r>
    </w:p>
    <w:p w14:paraId="516792FF">
      <w:pPr>
        <w:keepNext w:val="0"/>
        <w:keepLines w:val="0"/>
        <w:pageBreakBefore w:val="0"/>
        <w:widowControl/>
        <w:kinsoku/>
        <w:wordWrap/>
        <w:overflowPunct/>
        <w:topLinePunct w:val="0"/>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color w:val="000000" w:themeColor="text1"/>
          <w:sz w:val="28"/>
          <w:szCs w:val="28"/>
          <w14:textFill>
            <w14:solidFill>
              <w14:schemeClr w14:val="tx1"/>
            </w14:solidFill>
          </w14:textFill>
        </w:rPr>
        <w:t>第五组为思想政治课专项。</w:t>
      </w:r>
    </w:p>
    <w:p w14:paraId="0EB9C401">
      <w:pPr>
        <w:keepNext w:val="0"/>
        <w:keepLines w:val="0"/>
        <w:pageBreakBefore w:val="0"/>
        <w:widowControl/>
        <w:kinsoku/>
        <w:wordWrap/>
        <w:overflowPunct/>
        <w:topLinePunct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sz w:val="28"/>
          <w:szCs w:val="28"/>
          <w14:textFill>
            <w14:solidFill>
              <w14:schemeClr w14:val="tx1"/>
            </w14:solidFill>
          </w14:textFill>
        </w:rPr>
        <w:t>（二）参赛对象</w:t>
      </w:r>
    </w:p>
    <w:p w14:paraId="2ADB956A">
      <w:pPr>
        <w:keepNext w:val="0"/>
        <w:keepLines w:val="0"/>
        <w:pageBreakBefore w:val="0"/>
        <w:widowControl/>
        <w:kinsoku/>
        <w:wordWrap/>
        <w:overflowPunct/>
        <w:topLinePunct w:val="0"/>
        <w:autoSpaceDN/>
        <w:bidi w:val="0"/>
        <w:adjustRightInd/>
        <w:spacing w:line="360" w:lineRule="auto"/>
        <w:ind w:firstLine="36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从事本科</w:t>
      </w:r>
      <w:r>
        <w:rPr>
          <w:rFonts w:hint="eastAsia" w:ascii="方正仿宋_GB2312" w:hAnsi="方正仿宋_GB2312" w:eastAsia="方正仿宋_GB2312" w:cs="方正仿宋_GB2312"/>
          <w:color w:val="000000" w:themeColor="text1"/>
          <w:kern w:val="0"/>
          <w:sz w:val="28"/>
          <w:szCs w:val="28"/>
          <w:lang w:val="en-US" w:eastAsia="zh-CN"/>
          <w14:textFill>
            <w14:solidFill>
              <w14:schemeClr w14:val="tx1"/>
            </w14:solidFill>
          </w14:textFill>
        </w:rPr>
        <w:t>一线</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教学工作，具有主讲教师资格，近两年独立承担过参赛课程的完整教学，年龄在</w:t>
      </w:r>
      <w:r>
        <w:rPr>
          <w:rFonts w:hint="eastAsia" w:ascii="方正仿宋_GB2312" w:hAnsi="方正仿宋_GB2312" w:eastAsia="方正仿宋_GB2312" w:cs="方正仿宋_GB2312"/>
          <w:color w:val="000000" w:themeColor="text1"/>
          <w:kern w:val="0"/>
          <w:sz w:val="28"/>
          <w:szCs w:val="28"/>
          <w:lang w:val="en-US" w:eastAsia="zh-CN"/>
          <w14:textFill>
            <w14:solidFill>
              <w14:schemeClr w14:val="tx1"/>
            </w14:solidFill>
          </w14:textFill>
        </w:rPr>
        <w:t>39</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周岁以下（含</w:t>
      </w:r>
      <w:r>
        <w:rPr>
          <w:rFonts w:hint="eastAsia" w:ascii="方正仿宋_GB2312" w:hAnsi="方正仿宋_GB2312" w:eastAsia="方正仿宋_GB2312" w:cs="方正仿宋_GB2312"/>
          <w:color w:val="000000" w:themeColor="text1"/>
          <w:kern w:val="0"/>
          <w:sz w:val="28"/>
          <w:szCs w:val="28"/>
          <w:lang w:val="en-US" w:eastAsia="zh-CN"/>
          <w14:textFill>
            <w14:solidFill>
              <w14:schemeClr w14:val="tx1"/>
            </w14:solidFill>
          </w14:textFill>
        </w:rPr>
        <w:t>39</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周岁，198</w:t>
      </w:r>
      <w:r>
        <w:rPr>
          <w:rFonts w:hint="eastAsia" w:ascii="方正仿宋_GB2312" w:hAnsi="方正仿宋_GB2312" w:eastAsia="方正仿宋_GB2312" w:cs="方正仿宋_GB2312"/>
          <w:color w:val="000000" w:themeColor="text1"/>
          <w:kern w:val="0"/>
          <w:sz w:val="28"/>
          <w:szCs w:val="28"/>
          <w:lang w:val="en-US" w:eastAsia="zh-CN"/>
          <w14:textFill>
            <w14:solidFill>
              <w14:schemeClr w14:val="tx1"/>
            </w14:solidFill>
          </w14:textFill>
        </w:rPr>
        <w:t>6</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年</w:t>
      </w:r>
      <w:r>
        <w:rPr>
          <w:rFonts w:hint="eastAsia" w:ascii="方正仿宋_GB2312" w:hAnsi="方正仿宋_GB2312" w:eastAsia="方正仿宋_GB2312" w:cs="方正仿宋_GB2312"/>
          <w:color w:val="000000" w:themeColor="text1"/>
          <w:kern w:val="0"/>
          <w:sz w:val="28"/>
          <w:szCs w:val="28"/>
          <w:lang w:val="en-US" w:eastAsia="zh-CN"/>
          <w14:textFill>
            <w14:solidFill>
              <w14:schemeClr w14:val="tx1"/>
            </w14:solidFill>
          </w14:textFill>
        </w:rPr>
        <w:t>12月31日</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后出生）的在职教师。</w:t>
      </w:r>
    </w:p>
    <w:p w14:paraId="44D9DE62">
      <w:pPr>
        <w:keepNext w:val="0"/>
        <w:keepLines w:val="0"/>
        <w:pageBreakBefore w:val="0"/>
        <w:kinsoku/>
        <w:wordWrap/>
        <w:overflowPunct/>
        <w:topLinePunct w:val="0"/>
        <w:autoSpaceDE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三、</w:t>
      </w:r>
      <w:r>
        <w:rPr>
          <w:rFonts w:hint="eastAsia" w:ascii="方正仿宋_GB2312" w:hAnsi="方正仿宋_GB2312" w:eastAsia="方正仿宋_GB2312" w:cs="方正仿宋_GB2312"/>
          <w:b/>
          <w:bCs/>
          <w:color w:val="000000" w:themeColor="text1"/>
          <w:sz w:val="28"/>
          <w:szCs w:val="28"/>
          <w14:textFill>
            <w14:solidFill>
              <w14:schemeClr w14:val="tx1"/>
            </w14:solidFill>
          </w14:textFill>
        </w:rPr>
        <w:t>赛程安排</w:t>
      </w:r>
    </w:p>
    <w:p w14:paraId="6CFF643A">
      <w:pPr>
        <w:keepNext w:val="0"/>
        <w:keepLines w:val="0"/>
        <w:pageBreakBefore w:val="0"/>
        <w:kinsoku/>
        <w:wordWrap/>
        <w:overflowPunct/>
        <w:topLinePunct w:val="0"/>
        <w:autoSpaceDE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（一）初赛。</w:t>
      </w:r>
    </w:p>
    <w:p w14:paraId="7CAB5EF9">
      <w:pPr>
        <w:keepNext w:val="0"/>
        <w:keepLines w:val="0"/>
        <w:pageBreakBefore w:val="0"/>
        <w:kinsoku/>
        <w:wordWrap/>
        <w:overflowPunct/>
        <w:topLinePunct w:val="0"/>
        <w:autoSpaceDE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1.组织实施：</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各学院根据通知要求，在</w:t>
      </w:r>
      <w:r>
        <w:rPr>
          <w:rFonts w:hint="eastAsia" w:ascii="方正仿宋_GB2312" w:hAnsi="方正仿宋_GB2312" w:eastAsia="方正仿宋_GB2312" w:cs="方正仿宋_GB2312"/>
          <w:color w:val="000000" w:themeColor="text1"/>
          <w:kern w:val="0"/>
          <w:sz w:val="28"/>
          <w:szCs w:val="28"/>
          <w:lang w:val="en-US" w:eastAsia="zh-CN"/>
          <w14:textFill>
            <w14:solidFill>
              <w14:schemeClr w14:val="tx1"/>
            </w14:solidFill>
          </w14:textFill>
        </w:rPr>
        <w:t>6</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月9日前组织开展本单位青年教师教学竞赛活动，鼓励</w:t>
      </w:r>
      <w:r>
        <w:rPr>
          <w:rFonts w:hint="eastAsia" w:ascii="方正仿宋_GB2312" w:hAnsi="方正仿宋_GB2312" w:eastAsia="方正仿宋_GB2312" w:cs="方正仿宋_GB2312"/>
          <w:color w:val="000000" w:themeColor="text1"/>
          <w:kern w:val="0"/>
          <w:sz w:val="28"/>
          <w:szCs w:val="28"/>
          <w:lang w:val="en-US" w:eastAsia="zh-CN"/>
          <w14:textFill>
            <w14:solidFill>
              <w14:schemeClr w14:val="tx1"/>
            </w14:solidFill>
          </w14:textFill>
        </w:rPr>
        <w:t>青年</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教师参加院级教学竞赛，初赛阶段奖项设置及产生办法，由各学院根据情况自行设定。</w:t>
      </w:r>
    </w:p>
    <w:p w14:paraId="20511851">
      <w:pPr>
        <w:keepNext w:val="0"/>
        <w:keepLines w:val="0"/>
        <w:pageBreakBefore w:val="0"/>
        <w:kinsoku/>
        <w:wordWrap/>
        <w:overflowPunct/>
        <w:topLinePunct w:val="0"/>
        <w:autoSpaceDE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2.上报总结：</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各学院根据初赛组织情况形成总结报告，填写初赛组织情况表（见附件2），报送至教师发展办公室。</w:t>
      </w:r>
    </w:p>
    <w:p w14:paraId="303A21E6">
      <w:pPr>
        <w:keepNext w:val="0"/>
        <w:keepLines w:val="0"/>
        <w:pageBreakBefore w:val="0"/>
        <w:kinsoku/>
        <w:wordWrap/>
        <w:overflowPunct/>
        <w:topLinePunct w:val="0"/>
        <w:autoSpaceDE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3.推荐决赛：</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学院根据名额分配表（见附件1），通过竞赛活动选拔能够充分展示学院师德师风和高层次教学水平的教师作为单位代表，鼓励学院组建课程团队打磨选手，参加学校决赛。</w:t>
      </w:r>
    </w:p>
    <w:p w14:paraId="771A9190">
      <w:pPr>
        <w:keepNext w:val="0"/>
        <w:keepLines w:val="0"/>
        <w:pageBreakBefore w:val="0"/>
        <w:kinsoku/>
        <w:wordWrap/>
        <w:overflowPunct/>
        <w:topLinePunct w:val="0"/>
        <w:autoSpaceDE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（二）决赛。</w:t>
      </w:r>
    </w:p>
    <w:p w14:paraId="382D1125">
      <w:pPr>
        <w:keepNext w:val="0"/>
        <w:keepLines w:val="0"/>
        <w:pageBreakBefore w:val="0"/>
        <w:kinsoku/>
        <w:wordWrap/>
        <w:overflowPunct/>
        <w:topLinePunct w:val="0"/>
        <w:autoSpaceDE w:val="0"/>
        <w:autoSpaceDN/>
        <w:bidi w:val="0"/>
        <w:adjustRightInd/>
        <w:snapToGrid w:val="0"/>
        <w:spacing w:line="360" w:lineRule="auto"/>
        <w:ind w:firstLine="562"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1.决赛时间：</w:t>
      </w:r>
      <w:r>
        <w:rPr>
          <w:rFonts w:hint="eastAsia" w:ascii="方正仿宋_GB2312" w:hAnsi="方正仿宋_GB2312" w:eastAsia="方正仿宋_GB2312" w:cs="方正仿宋_GB2312"/>
          <w:color w:val="000000" w:themeColor="text1"/>
          <w:kern w:val="0"/>
          <w:sz w:val="28"/>
          <w:szCs w:val="28"/>
          <w:lang w:val="en-US" w:eastAsia="zh-CN"/>
          <w14:textFill>
            <w14:solidFill>
              <w14:schemeClr w14:val="tx1"/>
            </w14:solidFill>
          </w14:textFill>
        </w:rPr>
        <w:t>6月中旬</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（包括线上教学设计评选和现场教学环节评选）。</w:t>
      </w:r>
    </w:p>
    <w:p w14:paraId="48FC7E8D">
      <w:pPr>
        <w:keepNext w:val="0"/>
        <w:keepLines w:val="0"/>
        <w:pageBreakBefore w:val="0"/>
        <w:kinsoku/>
        <w:wordWrap/>
        <w:overflowPunct/>
        <w:topLinePunct w:val="0"/>
        <w:autoSpaceDE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2.组织实施：</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由学校统一组织</w:t>
      </w:r>
      <w:r>
        <w:rPr>
          <w:rFonts w:hint="eastAsia" w:ascii="方正仿宋_GB2312" w:hAnsi="方正仿宋_GB2312" w:eastAsia="方正仿宋_GB2312" w:cs="方正仿宋_GB2312"/>
          <w:color w:val="000000" w:themeColor="text1"/>
          <w:kern w:val="0"/>
          <w:sz w:val="28"/>
          <w:szCs w:val="28"/>
          <w:lang w:eastAsia="zh-CN"/>
          <w14:textFill>
            <w14:solidFill>
              <w14:schemeClr w14:val="tx1"/>
            </w14:solidFill>
          </w14:textFill>
        </w:rPr>
        <w:t>，</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分</w:t>
      </w:r>
      <w:r>
        <w:rPr>
          <w:rFonts w:hint="eastAsia" w:ascii="方正仿宋_GB2312" w:hAnsi="方正仿宋_GB2312" w:eastAsia="方正仿宋_GB2312" w:cs="方正仿宋_GB2312"/>
          <w:color w:val="000000" w:themeColor="text1"/>
          <w:kern w:val="0"/>
          <w:sz w:val="28"/>
          <w:szCs w:val="28"/>
          <w:lang w:val="en-US" w:eastAsia="zh-CN"/>
          <w14:textFill>
            <w14:solidFill>
              <w14:schemeClr w14:val="tx1"/>
            </w14:solidFill>
          </w14:textFill>
        </w:rPr>
        <w:t>五</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个组别进行。</w:t>
      </w:r>
    </w:p>
    <w:p w14:paraId="1039889C">
      <w:pPr>
        <w:keepNext w:val="0"/>
        <w:keepLines w:val="0"/>
        <w:pageBreakBefore w:val="0"/>
        <w:kinsoku/>
        <w:wordWrap/>
        <w:overflowPunct/>
        <w:topLinePunct w:val="0"/>
        <w:autoSpaceDE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3.决赛流程</w:t>
      </w:r>
    </w:p>
    <w:p w14:paraId="3DDB31AD">
      <w:pPr>
        <w:keepNext w:val="0"/>
        <w:keepLines w:val="0"/>
        <w:pageBreakBefore w:val="0"/>
        <w:kinsoku/>
        <w:wordWrap/>
        <w:overflowPunct/>
        <w:topLinePunct w:val="0"/>
        <w:autoSpaceDE w:val="0"/>
        <w:autoSpaceDN/>
        <w:bidi w:val="0"/>
        <w:adjustRightInd/>
        <w:snapToGrid w:val="0"/>
        <w:spacing w:line="360" w:lineRule="auto"/>
        <w:ind w:firstLine="560"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以“上好一门课”为竞赛理念，参赛课程实际学分不少于2个学分（含2个学分）。竞赛由教学设计、课堂教学和教学反思三部分组成，分数分别为20分、75分、5分。其中：</w:t>
      </w:r>
    </w:p>
    <w:p w14:paraId="307DCF36">
      <w:pPr>
        <w:keepNext w:val="0"/>
        <w:keepLines w:val="0"/>
        <w:pageBreakBefore w:val="0"/>
        <w:kinsoku/>
        <w:wordWrap/>
        <w:overflowPunct/>
        <w:topLinePunct w:val="0"/>
        <w:autoSpaceDE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（1）教学设计（20分）</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教学设计是指以1个学时为基本单位，对教学活动的设想与安排。参赛选手需提交参赛课程8个学时的教学设计方案。主要包括课程名称、课时数、学情分析、教学目标、课程资源、教学内容与过程、教学评价、预习任务与课后作业等。</w:t>
      </w:r>
    </w:p>
    <w:p w14:paraId="27DA3CC0">
      <w:pPr>
        <w:keepNext w:val="0"/>
        <w:keepLines w:val="0"/>
        <w:pageBreakBefore w:val="0"/>
        <w:kinsoku/>
        <w:wordWrap/>
        <w:overflowPunct/>
        <w:topLinePunct w:val="0"/>
        <w:autoSpaceDE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（2）课堂教学（75分）</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。课堂教学规定时间为15分钟。主要从教学内容、教学组织、教学语言与教态、教学特色四个方面进行考评。根据各自参赛课程需要，选手可携带教学模型、挂图等。</w:t>
      </w:r>
      <w:r>
        <w:rPr>
          <w:rFonts w:hint="eastAsia" w:ascii="方正仿宋_GB2312" w:hAnsi="方正仿宋_GB2312" w:eastAsia="方正仿宋_GB2312" w:cs="方正仿宋_GB2312"/>
          <w:color w:val="000000" w:themeColor="text1"/>
          <w:sz w:val="28"/>
          <w:szCs w:val="28"/>
          <w14:textFill>
            <w14:solidFill>
              <w14:schemeClr w14:val="tx1"/>
            </w14:solidFill>
          </w14:textFill>
        </w:rPr>
        <w:t>参赛选手需准备8个与教学设计相对应教学节段的PPT。</w:t>
      </w:r>
    </w:p>
    <w:p w14:paraId="74C5E192">
      <w:pPr>
        <w:keepNext w:val="0"/>
        <w:keepLines w:val="0"/>
        <w:pageBreakBefore w:val="0"/>
        <w:kinsoku/>
        <w:wordWrap/>
        <w:overflowPunct/>
        <w:topLinePunct w:val="0"/>
        <w:autoSpaceDE w:val="0"/>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课堂教学参赛当日，由参赛教师本人抽取教学节段后进行教学比赛。课堂教学开始前，参赛教师需报出本人参赛编号、课程和所抽取的教学节段名称等信息，比赛时间到即停止讲课。</w:t>
      </w:r>
    </w:p>
    <w:p w14:paraId="017DC1DD">
      <w:pPr>
        <w:keepNext w:val="0"/>
        <w:keepLines w:val="0"/>
        <w:pageBreakBefore w:val="0"/>
        <w:kinsoku/>
        <w:wordWrap/>
        <w:overflowPunct/>
        <w:topLinePunct w:val="0"/>
        <w:autoSpaceDE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（3）教学反思（5分）</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参赛选手需从教学理念、教学方法和教学过程三方面着手，在15分钟内完成对本讲课节段的教学反思总结材料（300字以内）。要求思路清晰、观点明确、联系实际，做到有感而发。大赛提供电脑，不允许携带任何书面或电子等形式的资料。</w:t>
      </w:r>
    </w:p>
    <w:p w14:paraId="2BB2F6F5">
      <w:pPr>
        <w:keepNext w:val="0"/>
        <w:keepLines w:val="0"/>
        <w:pageBreakBefore w:val="0"/>
        <w:kinsoku/>
        <w:wordWrap/>
        <w:overflowPunct/>
        <w:topLinePunct w:val="0"/>
        <w:autoSpaceDE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（4）评分规则</w:t>
      </w:r>
    </w:p>
    <w:p w14:paraId="161C8723">
      <w:pPr>
        <w:keepNext w:val="0"/>
        <w:keepLines w:val="0"/>
        <w:pageBreakBefore w:val="0"/>
        <w:kinsoku/>
        <w:wordWrap/>
        <w:overflowPunct/>
        <w:topLinePunct w:val="0"/>
        <w:autoSpaceDE w:val="0"/>
        <w:autoSpaceDN/>
        <w:bidi w:val="0"/>
        <w:adjustRightInd/>
        <w:snapToGrid w:val="0"/>
        <w:spacing w:line="360" w:lineRule="auto"/>
        <w:ind w:firstLine="560"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评委评分实行实名制，教学设计、课堂教学、教学反思三部分具体评分细则附后（参见附件6）。成绩评定采用百分制，选手三个部分的得分按比例计算后相加为最终得分。选手在进行课堂教学、教学反思与所抽签内容不符者，不计成绩。</w:t>
      </w:r>
    </w:p>
    <w:p w14:paraId="2D973909">
      <w:pPr>
        <w:keepNext w:val="0"/>
        <w:keepLines w:val="0"/>
        <w:pageBreakBefore w:val="0"/>
        <w:kinsoku/>
        <w:wordWrap/>
        <w:overflowPunct/>
        <w:topLinePunct w:val="0"/>
        <w:autoSpaceDE w:val="0"/>
        <w:autoSpaceDN/>
        <w:bidi w:val="0"/>
        <w:adjustRightInd/>
        <w:spacing w:line="360" w:lineRule="auto"/>
        <w:ind w:firstLine="703" w:firstLineChars="250"/>
        <w:jc w:val="left"/>
        <w:textAlignment w:val="auto"/>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（三）材料提交</w:t>
      </w:r>
    </w:p>
    <w:p w14:paraId="486D34A5">
      <w:pPr>
        <w:keepNext w:val="0"/>
        <w:keepLines w:val="0"/>
        <w:pageBreakBefore w:val="0"/>
        <w:kinsoku/>
        <w:wordWrap/>
        <w:overflowPunct/>
        <w:topLinePunct w:val="0"/>
        <w:autoSpaceDE w:val="0"/>
        <w:autoSpaceDN/>
        <w:bidi w:val="0"/>
        <w:adjustRightInd/>
        <w:spacing w:line="360" w:lineRule="auto"/>
        <w:ind w:firstLine="700" w:firstLineChars="250"/>
        <w:jc w:val="left"/>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color w:val="000000" w:themeColor="text1"/>
          <w:sz w:val="28"/>
          <w:szCs w:val="28"/>
          <w14:textFill>
            <w14:solidFill>
              <w14:schemeClr w14:val="tx1"/>
            </w14:solidFill>
          </w14:textFill>
        </w:rPr>
        <w:t>1.学院初赛材料、教师报名材料（附件1-附件3），以学院为单位统一提交</w:t>
      </w:r>
      <w:r>
        <w:rPr>
          <w:rFonts w:hint="eastAsia" w:ascii="方正仿宋_GB2312" w:hAnsi="方正仿宋_GB2312" w:eastAsia="方正仿宋_GB2312" w:cs="方正仿宋_GB2312"/>
          <w:color w:val="000000" w:themeColor="text1"/>
          <w:sz w:val="28"/>
          <w:szCs w:val="28"/>
          <w:u w:val="none"/>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28"/>
          <w:szCs w:val="28"/>
          <w:u w:val="none"/>
          <w14:textFill>
            <w14:solidFill>
              <w14:schemeClr w14:val="tx1"/>
            </w14:solidFill>
          </w14:textFill>
        </w:rPr>
        <w:fldChar w:fldCharType="begin"/>
      </w:r>
      <w:r>
        <w:rPr>
          <w:rFonts w:hint="eastAsia" w:ascii="方正仿宋_GB2312" w:hAnsi="方正仿宋_GB2312" w:eastAsia="方正仿宋_GB2312" w:cs="方正仿宋_GB2312"/>
          <w:color w:val="000000" w:themeColor="text1"/>
          <w:sz w:val="28"/>
          <w:szCs w:val="28"/>
          <w:u w:val="none"/>
          <w14:textFill>
            <w14:solidFill>
              <w14:schemeClr w14:val="tx1"/>
            </w14:solidFill>
          </w14:textFill>
        </w:rPr>
        <w:instrText xml:space="preserve"> HYPERLINK "mailto:电子版发送至邮箱510548070@qq.com" </w:instrText>
      </w:r>
      <w:r>
        <w:rPr>
          <w:rFonts w:hint="eastAsia" w:ascii="方正仿宋_GB2312" w:hAnsi="方正仿宋_GB2312" w:eastAsia="方正仿宋_GB2312" w:cs="方正仿宋_GB2312"/>
          <w:color w:val="000000" w:themeColor="text1"/>
          <w:sz w:val="28"/>
          <w:szCs w:val="28"/>
          <w:u w:val="none"/>
          <w14:textFill>
            <w14:solidFill>
              <w14:schemeClr w14:val="tx1"/>
            </w14:solidFill>
          </w14:textFill>
        </w:rPr>
        <w:fldChar w:fldCharType="separate"/>
      </w:r>
      <w:r>
        <w:rPr>
          <w:rStyle w:val="8"/>
          <w:rFonts w:hint="eastAsia" w:ascii="方正仿宋_GB2312" w:hAnsi="方正仿宋_GB2312" w:eastAsia="方正仿宋_GB2312" w:cs="方正仿宋_GB2312"/>
          <w:color w:val="000000" w:themeColor="text1"/>
          <w:sz w:val="28"/>
          <w:szCs w:val="28"/>
          <w:u w:val="none"/>
          <w14:textFill>
            <w14:solidFill>
              <w14:schemeClr w14:val="tx1"/>
            </w14:solidFill>
          </w14:textFill>
        </w:rPr>
        <w:t>电子版发送至邮箱510548070@qq.com</w:t>
      </w:r>
      <w:r>
        <w:rPr>
          <w:rStyle w:val="8"/>
          <w:rFonts w:hint="eastAsia" w:ascii="方正仿宋_GB2312" w:hAnsi="方正仿宋_GB2312" w:eastAsia="方正仿宋_GB2312" w:cs="方正仿宋_GB2312"/>
          <w:color w:val="000000" w:themeColor="text1"/>
          <w:sz w:val="28"/>
          <w:szCs w:val="28"/>
          <w:u w:val="none"/>
          <w14:textFill>
            <w14:solidFill>
              <w14:schemeClr w14:val="tx1"/>
            </w14:solidFill>
          </w14:textFill>
        </w:rPr>
        <w:fldChar w:fldCharType="end"/>
      </w:r>
      <w:r>
        <w:rPr>
          <w:rFonts w:hint="eastAsia" w:ascii="方正仿宋_GB2312" w:hAnsi="方正仿宋_GB2312" w:eastAsia="方正仿宋_GB2312" w:cs="方正仿宋_GB2312"/>
          <w:color w:val="000000" w:themeColor="text1"/>
          <w:sz w:val="28"/>
          <w:szCs w:val="28"/>
          <w:u w:val="none"/>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28"/>
          <w:szCs w:val="28"/>
          <w:u w:val="none"/>
          <w14:textFill>
            <w14:solidFill>
              <w14:schemeClr w14:val="tx1"/>
            </w14:solidFill>
          </w14:textFill>
        </w:rPr>
        <w:t>截止</w:t>
      </w:r>
      <w:r>
        <w:rPr>
          <w:rFonts w:hint="eastAsia" w:ascii="方正仿宋_GB2312" w:hAnsi="方正仿宋_GB2312" w:eastAsia="方正仿宋_GB2312" w:cs="方正仿宋_GB2312"/>
          <w:color w:val="000000" w:themeColor="text1"/>
          <w:sz w:val="28"/>
          <w:szCs w:val="28"/>
          <w14:textFill>
            <w14:solidFill>
              <w14:schemeClr w14:val="tx1"/>
            </w14:solidFill>
          </w14:textFill>
        </w:rPr>
        <w:t>日期为</w:t>
      </w:r>
      <w:r>
        <w:rPr>
          <w:rFonts w:hint="eastAsia" w:ascii="方正仿宋_GB2312" w:hAnsi="方正仿宋_GB2312" w:eastAsia="方正仿宋_GB2312" w:cs="方正仿宋_GB2312"/>
          <w:color w:val="000000" w:themeColor="text1"/>
          <w:sz w:val="28"/>
          <w:szCs w:val="28"/>
          <w:lang w:val="en-US" w:eastAsia="zh-CN"/>
          <w14:textFill>
            <w14:solidFill>
              <w14:schemeClr w14:val="tx1"/>
            </w14:solidFill>
          </w14:textFill>
        </w:rPr>
        <w:t>6</w:t>
      </w:r>
      <w:r>
        <w:rPr>
          <w:rFonts w:hint="eastAsia" w:ascii="方正仿宋_GB2312" w:hAnsi="方正仿宋_GB2312" w:eastAsia="方正仿宋_GB2312" w:cs="方正仿宋_GB2312"/>
          <w:color w:val="000000" w:themeColor="text1"/>
          <w:sz w:val="28"/>
          <w:szCs w:val="28"/>
          <w14:textFill>
            <w14:solidFill>
              <w14:schemeClr w14:val="tx1"/>
            </w14:solidFill>
          </w14:textFill>
        </w:rPr>
        <w:t>月</w:t>
      </w:r>
      <w:r>
        <w:rPr>
          <w:rFonts w:hint="eastAsia" w:ascii="方正仿宋_GB2312" w:hAnsi="方正仿宋_GB2312" w:eastAsia="方正仿宋_GB2312" w:cs="方正仿宋_GB2312"/>
          <w:color w:val="000000" w:themeColor="text1"/>
          <w:sz w:val="28"/>
          <w:szCs w:val="28"/>
          <w:lang w:val="en-US" w:eastAsia="zh-CN"/>
          <w14:textFill>
            <w14:solidFill>
              <w14:schemeClr w14:val="tx1"/>
            </w14:solidFill>
          </w14:textFill>
        </w:rPr>
        <w:t>9</w:t>
      </w:r>
      <w:r>
        <w:rPr>
          <w:rFonts w:hint="eastAsia" w:ascii="方正仿宋_GB2312" w:hAnsi="方正仿宋_GB2312" w:eastAsia="方正仿宋_GB2312" w:cs="方正仿宋_GB2312"/>
          <w:color w:val="000000" w:themeColor="text1"/>
          <w:sz w:val="28"/>
          <w:szCs w:val="28"/>
          <w14:textFill>
            <w14:solidFill>
              <w14:schemeClr w14:val="tx1"/>
            </w14:solidFill>
          </w14:textFill>
        </w:rPr>
        <w:t>日上午12：00，</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逾期未报者，视作放弃比赛资格</w:t>
      </w:r>
      <w:r>
        <w:rPr>
          <w:rFonts w:hint="eastAsia" w:ascii="方正仿宋_GB2312" w:hAnsi="方正仿宋_GB2312" w:eastAsia="方正仿宋_GB2312" w:cs="方正仿宋_GB2312"/>
          <w:color w:val="000000" w:themeColor="text1"/>
          <w:sz w:val="28"/>
          <w:szCs w:val="28"/>
          <w14:textFill>
            <w14:solidFill>
              <w14:schemeClr w14:val="tx1"/>
            </w14:solidFill>
          </w14:textFill>
        </w:rPr>
        <w:t>。</w:t>
      </w:r>
    </w:p>
    <w:p w14:paraId="2B72DD71">
      <w:pPr>
        <w:keepNext w:val="0"/>
        <w:keepLines w:val="0"/>
        <w:pageBreakBefore w:val="0"/>
        <w:kinsoku/>
        <w:wordWrap/>
        <w:overflowPunct/>
        <w:topLinePunct w:val="0"/>
        <w:autoSpaceDE w:val="0"/>
        <w:autoSpaceDN/>
        <w:bidi w:val="0"/>
        <w:adjustRightInd/>
        <w:spacing w:line="360" w:lineRule="auto"/>
        <w:ind w:firstLine="700" w:firstLineChars="250"/>
        <w:jc w:val="left"/>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color w:val="000000" w:themeColor="text1"/>
          <w:sz w:val="28"/>
          <w:szCs w:val="28"/>
          <w14:textFill>
            <w14:solidFill>
              <w14:schemeClr w14:val="tx1"/>
            </w14:solidFill>
          </w14:textFill>
        </w:rPr>
        <w:t>2.教师参赛材料。包括教学设计、课程大纲、课件等电子版</w:t>
      </w:r>
      <w:r>
        <w:rPr>
          <w:rFonts w:hint="eastAsia" w:ascii="方正仿宋_GB2312" w:hAnsi="方正仿宋_GB2312" w:eastAsia="方正仿宋_GB2312" w:cs="方正仿宋_GB2312"/>
          <w:color w:val="000000" w:themeColor="text1"/>
          <w:sz w:val="28"/>
          <w:szCs w:val="28"/>
          <w:lang w:val="en-US" w:eastAsia="zh-CN"/>
          <w14:textFill>
            <w14:solidFill>
              <w14:schemeClr w14:val="tx1"/>
            </w14:solidFill>
          </w14:textFill>
        </w:rPr>
        <w:t>按照模板要求，</w:t>
      </w:r>
      <w:r>
        <w:rPr>
          <w:rFonts w:hint="eastAsia" w:ascii="方正仿宋_GB2312" w:hAnsi="方正仿宋_GB2312" w:eastAsia="方正仿宋_GB2312" w:cs="方正仿宋_GB2312"/>
          <w:color w:val="000000" w:themeColor="text1"/>
          <w:sz w:val="28"/>
          <w:szCs w:val="28"/>
          <w14:textFill>
            <w14:solidFill>
              <w14:schemeClr w14:val="tx1"/>
            </w14:solidFill>
          </w14:textFill>
        </w:rPr>
        <w:t>上传至石河子大学教师发展中心大赛系统，不需再提供纸质版。平台开放时间及操作手册后续另行通知。</w:t>
      </w:r>
    </w:p>
    <w:p w14:paraId="760426C7">
      <w:pPr>
        <w:keepNext w:val="0"/>
        <w:keepLines w:val="0"/>
        <w:pageBreakBefore w:val="0"/>
        <w:kinsoku/>
        <w:wordWrap/>
        <w:overflowPunct/>
        <w:topLinePunct w:val="0"/>
        <w:autoSpaceDE w:val="0"/>
        <w:autoSpaceDN/>
        <w:bidi w:val="0"/>
        <w:adjustRightInd/>
        <w:spacing w:line="360" w:lineRule="auto"/>
        <w:ind w:firstLine="700" w:firstLineChars="250"/>
        <w:jc w:val="left"/>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color w:val="000000" w:themeColor="text1"/>
          <w:sz w:val="28"/>
          <w:szCs w:val="28"/>
          <w14:textFill>
            <w14:solidFill>
              <w14:schemeClr w14:val="tx1"/>
            </w14:solidFill>
          </w14:textFill>
        </w:rPr>
        <w:t>3.</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提交课程教学设计材料,按下述顺序排版：</w:t>
      </w:r>
    </w:p>
    <w:p w14:paraId="543B5C3F">
      <w:pPr>
        <w:keepNext w:val="0"/>
        <w:keepLines w:val="0"/>
        <w:pageBreakBefore w:val="0"/>
        <w:widowControl/>
        <w:kinsoku/>
        <w:wordWrap/>
        <w:overflowPunct/>
        <w:topLinePunct w:val="0"/>
        <w:autoSpaceDN/>
        <w:bidi w:val="0"/>
        <w:adjustRightInd/>
        <w:spacing w:line="360" w:lineRule="auto"/>
        <w:ind w:firstLine="45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（1）封面：不要出现教师姓名、学院等信息；</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需包含以下内容：</w:t>
      </w:r>
    </w:p>
    <w:p w14:paraId="29889F57">
      <w:pPr>
        <w:keepNext w:val="0"/>
        <w:keepLines w:val="0"/>
        <w:pageBreakBefore w:val="0"/>
        <w:widowControl/>
        <w:kinsoku/>
        <w:wordWrap/>
        <w:overflowPunct/>
        <w:topLinePunct w:val="0"/>
        <w:autoSpaceDN/>
        <w:bidi w:val="0"/>
        <w:adjustRightInd/>
        <w:spacing w:line="360" w:lineRule="auto"/>
        <w:ind w:firstLine="675"/>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第一行：石河子大学2023年青年教师教学竞赛决赛参赛材料；</w:t>
      </w:r>
    </w:p>
    <w:p w14:paraId="4B6EF3BD">
      <w:pPr>
        <w:keepNext w:val="0"/>
        <w:keepLines w:val="0"/>
        <w:pageBreakBefore w:val="0"/>
        <w:widowControl/>
        <w:kinsoku/>
        <w:wordWrap/>
        <w:overflowPunct/>
        <w:topLinePunct w:val="0"/>
        <w:autoSpaceDN/>
        <w:bidi w:val="0"/>
        <w:adjustRightInd/>
        <w:spacing w:line="360" w:lineRule="auto"/>
        <w:ind w:firstLine="675"/>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第二行：课程名称，例如高等数学（页面三分之一处居中，初号，宋体）；</w:t>
      </w:r>
    </w:p>
    <w:p w14:paraId="6D1959FF">
      <w:pPr>
        <w:keepNext w:val="0"/>
        <w:keepLines w:val="0"/>
        <w:pageBreakBefore w:val="0"/>
        <w:widowControl/>
        <w:kinsoku/>
        <w:wordWrap/>
        <w:overflowPunct/>
        <w:topLinePunct w:val="0"/>
        <w:autoSpaceDN/>
        <w:bidi w:val="0"/>
        <w:adjustRightInd/>
        <w:spacing w:line="360" w:lineRule="auto"/>
        <w:ind w:firstLine="675"/>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第三行：参赛组别，例如理科组。</w:t>
      </w:r>
    </w:p>
    <w:p w14:paraId="06E2E090">
      <w:pPr>
        <w:keepNext w:val="0"/>
        <w:keepLines w:val="0"/>
        <w:pageBreakBefore w:val="0"/>
        <w:widowControl/>
        <w:numPr>
          <w:ilvl w:val="0"/>
          <w:numId w:val="0"/>
        </w:numPr>
        <w:kinsoku/>
        <w:wordWrap/>
        <w:overflowPunct/>
        <w:topLinePunct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lang w:val="en-US" w:eastAsia="zh-CN" w:bidi="ar-SA"/>
          <w14:textFill>
            <w14:solidFill>
              <w14:schemeClr w14:val="tx1"/>
            </w14:solidFill>
          </w14:textFill>
        </w:rPr>
        <w:t>（2）</w:t>
      </w: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目录：</w:t>
      </w: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须包含参赛课程的教学大纲、教学设计和教学节段目录；</w:t>
      </w:r>
    </w:p>
    <w:p w14:paraId="39E92BA9">
      <w:pPr>
        <w:keepNext w:val="0"/>
        <w:keepLines w:val="0"/>
        <w:pageBreakBefore w:val="0"/>
        <w:widowControl/>
        <w:numPr>
          <w:ilvl w:val="0"/>
          <w:numId w:val="0"/>
        </w:numPr>
        <w:kinsoku/>
        <w:wordWrap/>
        <w:overflowPunct/>
        <w:topLinePunct w:val="0"/>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lang w:val="en-US" w:eastAsia="zh-CN" w:bidi="ar-SA"/>
          <w14:textFill>
            <w14:solidFill>
              <w14:schemeClr w14:val="tx1"/>
            </w14:solidFill>
          </w14:textFill>
        </w:rPr>
        <w:t>（3）</w:t>
      </w: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主要内容：</w:t>
      </w:r>
    </w:p>
    <w:p w14:paraId="47CD990F">
      <w:pPr>
        <w:keepNext w:val="0"/>
        <w:keepLines w:val="0"/>
        <w:pageBreakBefore w:val="0"/>
        <w:widowControl/>
        <w:kinsoku/>
        <w:wordWrap/>
        <w:overflowPunct/>
        <w:topLinePunct w:val="0"/>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内容1：课程教学大纲；</w:t>
      </w:r>
    </w:p>
    <w:p w14:paraId="09830656">
      <w:pPr>
        <w:keepNext w:val="0"/>
        <w:keepLines w:val="0"/>
        <w:pageBreakBefore w:val="0"/>
        <w:widowControl/>
        <w:kinsoku/>
        <w:wordWrap/>
        <w:overflowPunct/>
        <w:topLinePunct w:val="0"/>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内容2：8个学时的教学设计（见附件5）；</w:t>
      </w:r>
    </w:p>
    <w:p w14:paraId="6BCC3534">
      <w:pPr>
        <w:keepNext w:val="0"/>
        <w:keepLines w:val="0"/>
        <w:pageBreakBefore w:val="0"/>
        <w:widowControl/>
        <w:kinsoku/>
        <w:wordWrap/>
        <w:overflowPunct/>
        <w:topLinePunct w:val="0"/>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内容3：与8个学时对应的8个教学节段目录（见附件5）。</w:t>
      </w:r>
    </w:p>
    <w:p w14:paraId="5AC25172">
      <w:pPr>
        <w:keepNext w:val="0"/>
        <w:keepLines w:val="0"/>
        <w:pageBreakBefore w:val="0"/>
        <w:widowControl/>
        <w:kinsoku/>
        <w:wordWrap/>
        <w:overflowPunct/>
        <w:topLinePunct w:val="0"/>
        <w:autoSpaceDN/>
        <w:bidi w:val="0"/>
        <w:adjustRightInd/>
        <w:spacing w:line="360" w:lineRule="auto"/>
        <w:ind w:firstLine="36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8"/>
          <w:szCs w:val="28"/>
          <w14:textFill>
            <w14:solidFill>
              <w14:schemeClr w14:val="tx1"/>
            </w14:solidFill>
          </w14:textFill>
        </w:rPr>
        <w:t>（四）表彰奖励</w:t>
      </w:r>
    </w:p>
    <w:p w14:paraId="6BFF68CD">
      <w:pPr>
        <w:keepNext w:val="0"/>
        <w:keepLines w:val="0"/>
        <w:pageBreakBefore w:val="0"/>
        <w:widowControl/>
        <w:kinsoku/>
        <w:wordWrap/>
        <w:overflowPunct/>
        <w:topLinePunct w:val="0"/>
        <w:autoSpaceDN/>
        <w:bidi w:val="0"/>
        <w:adjustRightInd/>
        <w:spacing w:line="360" w:lineRule="auto"/>
        <w:ind w:firstLine="54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个人表彰：决赛将评选出一、二、三等奖若干予以表彰。</w:t>
      </w:r>
    </w:p>
    <w:p w14:paraId="2ECFF155">
      <w:pPr>
        <w:keepNext w:val="0"/>
        <w:keepLines w:val="0"/>
        <w:pageBreakBefore w:val="0"/>
        <w:widowControl/>
        <w:kinsoku/>
        <w:wordWrap/>
        <w:overflowPunct/>
        <w:topLinePunct w:val="0"/>
        <w:autoSpaceDN/>
        <w:bidi w:val="0"/>
        <w:adjustRightInd/>
        <w:spacing w:line="360" w:lineRule="auto"/>
        <w:ind w:firstLine="54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集体表彰：对教学竞赛开展过程中，活动覆盖面大、教师参与度高、工作成绩突出的单位颁发单位优秀组织奖。</w:t>
      </w:r>
    </w:p>
    <w:p w14:paraId="6AFFB696">
      <w:pPr>
        <w:keepNext w:val="0"/>
        <w:keepLines w:val="0"/>
        <w:pageBreakBefore w:val="0"/>
        <w:widowControl/>
        <w:kinsoku/>
        <w:wordWrap/>
        <w:overflowPunct/>
        <w:topLinePunct w:val="0"/>
        <w:autoSpaceDN/>
        <w:bidi w:val="0"/>
        <w:adjustRightInd/>
        <w:spacing w:line="360" w:lineRule="auto"/>
        <w:ind w:firstLine="540"/>
        <w:jc w:val="left"/>
        <w:textAlignment w:val="auto"/>
        <w:rPr>
          <w:rFonts w:hint="eastAsia" w:ascii="方正仿宋_GB2312" w:hAnsi="方正仿宋_GB2312" w:eastAsia="方正仿宋_GB2312" w:cs="方正仿宋_GB2312"/>
          <w:color w:val="000000" w:themeColor="text1"/>
          <w:kern w:val="0"/>
          <w:sz w:val="28"/>
          <w:szCs w:val="28"/>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lang w:val="en-US" w:eastAsia="zh-CN"/>
          <w14:textFill>
            <w14:solidFill>
              <w14:schemeClr w14:val="tx1"/>
            </w14:solidFill>
          </w14:textFill>
        </w:rPr>
        <w:t>推荐参加兵团赛：学校将按照兵团名额和校赛排名遴选出参加兵团青年教师教学竞赛的参赛选手。</w:t>
      </w:r>
    </w:p>
    <w:p w14:paraId="2BA00F9B">
      <w:pPr>
        <w:keepNext w:val="0"/>
        <w:keepLines w:val="0"/>
        <w:pageBreakBefore w:val="0"/>
        <w:widowControl/>
        <w:kinsoku/>
        <w:wordWrap/>
        <w:overflowPunct/>
        <w:topLinePunct w:val="0"/>
        <w:autoSpaceDN/>
        <w:bidi w:val="0"/>
        <w:adjustRightInd/>
        <w:spacing w:line="360" w:lineRule="auto"/>
        <w:ind w:firstLine="54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（七）联系人及方式</w:t>
      </w:r>
    </w:p>
    <w:p w14:paraId="125D3B5F">
      <w:pPr>
        <w:keepNext w:val="0"/>
        <w:keepLines w:val="0"/>
        <w:pageBreakBefore w:val="0"/>
        <w:widowControl/>
        <w:kinsoku/>
        <w:wordWrap/>
        <w:overflowPunct/>
        <w:topLinePunct w:val="0"/>
        <w:autoSpaceDN/>
        <w:bidi w:val="0"/>
        <w:adjustRightInd/>
        <w:spacing w:line="360" w:lineRule="auto"/>
        <w:ind w:firstLine="540"/>
        <w:jc w:val="left"/>
        <w:textAlignment w:val="auto"/>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pPr>
      <w:r>
        <w:rPr>
          <w:rFonts w:hint="eastAsia" w:ascii="方正仿宋_GB2312" w:hAnsi="方正仿宋_GB2312" w:eastAsia="方正仿宋_GB2312" w:cs="方正仿宋_GB2312"/>
          <w:color w:val="000000" w:themeColor="text1"/>
          <w:kern w:val="0"/>
          <w:sz w:val="28"/>
          <w:szCs w:val="28"/>
          <w14:textFill>
            <w14:solidFill>
              <w14:schemeClr w14:val="tx1"/>
            </w14:solidFill>
          </w14:textFill>
        </w:rPr>
        <w:t>魏雪娇   牛智源        电话：2057965</w:t>
      </w:r>
    </w:p>
    <w:p w14:paraId="46E974BA">
      <w:pPr>
        <w:widowControl/>
        <w:jc w:val="left"/>
        <w:rPr>
          <w:rFonts w:hint="eastAsia" w:ascii="仿宋" w:hAnsi="仿宋" w:eastAsia="仿宋" w:cs="宋体"/>
          <w:kern w:val="0"/>
          <w:sz w:val="28"/>
          <w:szCs w:val="28"/>
        </w:rPr>
      </w:pPr>
    </w:p>
    <w:p w14:paraId="53848F0F">
      <w:pPr>
        <w:widowControl/>
        <w:jc w:val="left"/>
        <w:rPr>
          <w:rFonts w:ascii="仿宋" w:hAnsi="仿宋" w:eastAsia="仿宋" w:cs="宋体"/>
          <w:kern w:val="0"/>
          <w:sz w:val="28"/>
          <w:szCs w:val="28"/>
        </w:rPr>
      </w:pPr>
      <w:bookmarkStart w:id="0" w:name="_GoBack"/>
      <w:bookmarkEnd w:id="0"/>
      <w:r>
        <w:rPr>
          <w:rFonts w:hint="eastAsia" w:ascii="仿宋" w:hAnsi="仿宋" w:eastAsia="仿宋" w:cs="宋体"/>
          <w:kern w:val="0"/>
          <w:sz w:val="28"/>
          <w:szCs w:val="28"/>
        </w:rPr>
        <w:t>附件1</w:t>
      </w:r>
      <w:r>
        <w:rPr>
          <w:rFonts w:ascii="仿宋" w:hAnsi="仿宋" w:eastAsia="仿宋" w:cs="宋体"/>
          <w:kern w:val="0"/>
          <w:sz w:val="28"/>
          <w:szCs w:val="28"/>
        </w:rPr>
        <w:t xml:space="preserve"> </w:t>
      </w:r>
      <w:r>
        <w:rPr>
          <w:rFonts w:hint="eastAsia" w:ascii="仿宋" w:hAnsi="仿宋" w:eastAsia="仿宋" w:cs="宋体"/>
          <w:kern w:val="0"/>
          <w:sz w:val="28"/>
          <w:szCs w:val="28"/>
        </w:rPr>
        <w:t>石河子大学</w:t>
      </w:r>
      <w:r>
        <w:rPr>
          <w:rFonts w:ascii="仿宋" w:hAnsi="仿宋" w:eastAsia="仿宋" w:cs="宋体"/>
          <w:kern w:val="0"/>
          <w:sz w:val="28"/>
          <w:szCs w:val="28"/>
        </w:rPr>
        <w:t>202</w:t>
      </w:r>
      <w:r>
        <w:rPr>
          <w:rFonts w:hint="eastAsia" w:ascii="仿宋" w:hAnsi="仿宋" w:eastAsia="仿宋" w:cs="宋体"/>
          <w:kern w:val="0"/>
          <w:sz w:val="28"/>
          <w:szCs w:val="28"/>
          <w:lang w:val="en-US" w:eastAsia="zh-CN"/>
        </w:rPr>
        <w:t>5</w:t>
      </w:r>
      <w:r>
        <w:rPr>
          <w:rFonts w:ascii="仿宋" w:hAnsi="仿宋" w:eastAsia="仿宋" w:cs="宋体"/>
          <w:kern w:val="0"/>
          <w:sz w:val="28"/>
          <w:szCs w:val="28"/>
        </w:rPr>
        <w:t>年青年教师教学竞赛决赛推荐名额分配表</w:t>
      </w:r>
    </w:p>
    <w:p w14:paraId="701CFCC6">
      <w:pPr>
        <w:widowControl/>
        <w:jc w:val="left"/>
        <w:rPr>
          <w:rFonts w:ascii="仿宋" w:hAnsi="仿宋" w:eastAsia="仿宋" w:cs="宋体"/>
          <w:kern w:val="0"/>
          <w:sz w:val="28"/>
          <w:szCs w:val="28"/>
        </w:rPr>
      </w:pPr>
      <w:r>
        <w:rPr>
          <w:rFonts w:hint="eastAsia" w:ascii="仿宋" w:hAnsi="仿宋" w:eastAsia="仿宋" w:cs="宋体"/>
          <w:kern w:val="0"/>
          <w:sz w:val="28"/>
          <w:szCs w:val="28"/>
        </w:rPr>
        <w:t>附件</w:t>
      </w:r>
      <w:r>
        <w:rPr>
          <w:rFonts w:ascii="仿宋" w:hAnsi="仿宋" w:eastAsia="仿宋" w:cs="宋体"/>
          <w:kern w:val="0"/>
          <w:sz w:val="28"/>
          <w:szCs w:val="28"/>
        </w:rPr>
        <w:t xml:space="preserve">2 </w:t>
      </w:r>
      <w:r>
        <w:rPr>
          <w:rFonts w:hint="eastAsia" w:ascii="仿宋" w:hAnsi="仿宋" w:eastAsia="仿宋" w:cs="宋体"/>
          <w:kern w:val="0"/>
          <w:sz w:val="28"/>
          <w:szCs w:val="28"/>
        </w:rPr>
        <w:t>石河子大学</w:t>
      </w:r>
      <w:r>
        <w:rPr>
          <w:rFonts w:ascii="仿宋" w:hAnsi="仿宋" w:eastAsia="仿宋" w:cs="宋体"/>
          <w:kern w:val="0"/>
          <w:sz w:val="28"/>
          <w:szCs w:val="28"/>
        </w:rPr>
        <w:t>202</w:t>
      </w:r>
      <w:r>
        <w:rPr>
          <w:rFonts w:hint="eastAsia" w:ascii="仿宋" w:hAnsi="仿宋" w:eastAsia="仿宋" w:cs="宋体"/>
          <w:kern w:val="0"/>
          <w:sz w:val="28"/>
          <w:szCs w:val="28"/>
          <w:lang w:val="en-US" w:eastAsia="zh-CN"/>
        </w:rPr>
        <w:t>5</w:t>
      </w:r>
      <w:r>
        <w:rPr>
          <w:rFonts w:ascii="仿宋" w:hAnsi="仿宋" w:eastAsia="仿宋" w:cs="宋体"/>
          <w:kern w:val="0"/>
          <w:sz w:val="28"/>
          <w:szCs w:val="28"/>
        </w:rPr>
        <w:t>年青年教师教学竞赛初赛组织情况表</w:t>
      </w:r>
    </w:p>
    <w:p w14:paraId="08FF5408">
      <w:pPr>
        <w:widowControl/>
        <w:jc w:val="left"/>
        <w:rPr>
          <w:rFonts w:ascii="仿宋" w:hAnsi="仿宋" w:eastAsia="仿宋" w:cs="宋体"/>
          <w:kern w:val="0"/>
          <w:sz w:val="28"/>
          <w:szCs w:val="28"/>
        </w:rPr>
      </w:pPr>
      <w:r>
        <w:rPr>
          <w:rFonts w:hint="eastAsia" w:ascii="仿宋" w:hAnsi="仿宋" w:eastAsia="仿宋" w:cs="宋体"/>
          <w:kern w:val="0"/>
          <w:sz w:val="28"/>
          <w:szCs w:val="28"/>
        </w:rPr>
        <w:t>附件3</w:t>
      </w:r>
      <w:r>
        <w:rPr>
          <w:rFonts w:ascii="仿宋" w:hAnsi="仿宋" w:eastAsia="仿宋" w:cs="宋体"/>
          <w:kern w:val="0"/>
          <w:sz w:val="28"/>
          <w:szCs w:val="28"/>
        </w:rPr>
        <w:t xml:space="preserve"> </w:t>
      </w:r>
      <w:r>
        <w:rPr>
          <w:rFonts w:hint="eastAsia" w:ascii="仿宋" w:hAnsi="仿宋" w:eastAsia="仿宋" w:cs="宋体"/>
          <w:kern w:val="0"/>
          <w:sz w:val="28"/>
          <w:szCs w:val="28"/>
        </w:rPr>
        <w:t>石河子大学</w:t>
      </w:r>
      <w:r>
        <w:rPr>
          <w:rFonts w:ascii="仿宋" w:hAnsi="仿宋" w:eastAsia="仿宋" w:cs="宋体"/>
          <w:kern w:val="0"/>
          <w:sz w:val="28"/>
          <w:szCs w:val="28"/>
        </w:rPr>
        <w:t>青年教师教学竞赛决赛推荐汇总表</w:t>
      </w:r>
    </w:p>
    <w:p w14:paraId="72AB1154">
      <w:pPr>
        <w:widowControl/>
        <w:jc w:val="left"/>
        <w:rPr>
          <w:rFonts w:ascii="仿宋" w:hAnsi="仿宋" w:eastAsia="仿宋" w:cs="宋体"/>
          <w:kern w:val="0"/>
          <w:sz w:val="28"/>
          <w:szCs w:val="28"/>
        </w:rPr>
      </w:pPr>
      <w:r>
        <w:rPr>
          <w:rFonts w:hint="eastAsia" w:ascii="仿宋" w:hAnsi="仿宋" w:eastAsia="仿宋" w:cs="宋体"/>
          <w:kern w:val="0"/>
          <w:sz w:val="28"/>
          <w:szCs w:val="28"/>
        </w:rPr>
        <w:t>附件4</w:t>
      </w:r>
      <w:r>
        <w:rPr>
          <w:rFonts w:ascii="仿宋" w:hAnsi="仿宋" w:eastAsia="仿宋" w:cs="宋体"/>
          <w:kern w:val="0"/>
          <w:sz w:val="28"/>
          <w:szCs w:val="28"/>
        </w:rPr>
        <w:t xml:space="preserve"> </w:t>
      </w:r>
      <w:r>
        <w:rPr>
          <w:rFonts w:hint="eastAsia" w:ascii="仿宋" w:hAnsi="仿宋" w:eastAsia="仿宋" w:cs="宋体"/>
          <w:kern w:val="0"/>
          <w:sz w:val="28"/>
          <w:szCs w:val="28"/>
        </w:rPr>
        <w:t>石河子大学</w:t>
      </w:r>
      <w:r>
        <w:rPr>
          <w:rFonts w:ascii="仿宋" w:hAnsi="仿宋" w:eastAsia="仿宋" w:cs="宋体"/>
          <w:kern w:val="0"/>
          <w:sz w:val="28"/>
          <w:szCs w:val="28"/>
        </w:rPr>
        <w:t>青年教师教学竞赛决赛选手推荐表</w:t>
      </w:r>
    </w:p>
    <w:p w14:paraId="64AFB0F4">
      <w:pPr>
        <w:widowControl/>
        <w:jc w:val="left"/>
        <w:rPr>
          <w:rFonts w:ascii="仿宋" w:hAnsi="仿宋" w:eastAsia="仿宋" w:cs="宋体"/>
          <w:kern w:val="0"/>
          <w:sz w:val="28"/>
          <w:szCs w:val="28"/>
        </w:rPr>
      </w:pPr>
      <w:r>
        <w:rPr>
          <w:rFonts w:hint="eastAsia" w:ascii="仿宋" w:hAnsi="仿宋" w:eastAsia="仿宋" w:cs="宋体"/>
          <w:kern w:val="0"/>
          <w:sz w:val="28"/>
          <w:szCs w:val="28"/>
        </w:rPr>
        <w:t>附件5</w:t>
      </w:r>
      <w:r>
        <w:rPr>
          <w:rFonts w:ascii="仿宋" w:hAnsi="仿宋" w:eastAsia="仿宋" w:cs="宋体"/>
          <w:kern w:val="0"/>
          <w:sz w:val="28"/>
          <w:szCs w:val="28"/>
        </w:rPr>
        <w:t xml:space="preserve"> 石河子大学课程教学设计参考</w:t>
      </w:r>
      <w:r>
        <w:rPr>
          <w:rFonts w:hint="eastAsia" w:ascii="仿宋" w:hAnsi="仿宋" w:eastAsia="仿宋" w:cs="宋体"/>
          <w:kern w:val="0"/>
          <w:sz w:val="28"/>
          <w:szCs w:val="28"/>
          <w:lang w:eastAsia="zh-CN"/>
        </w:rPr>
        <w:t>模板</w:t>
      </w:r>
    </w:p>
    <w:p w14:paraId="2B3D3FCF">
      <w:pPr>
        <w:widowControl/>
        <w:jc w:val="left"/>
        <w:rPr>
          <w:rFonts w:ascii="仿宋" w:hAnsi="仿宋" w:eastAsia="仿宋" w:cs="宋体"/>
          <w:kern w:val="0"/>
          <w:sz w:val="28"/>
          <w:szCs w:val="28"/>
        </w:rPr>
      </w:pPr>
      <w:r>
        <w:rPr>
          <w:rFonts w:hint="eastAsia" w:ascii="仿宋" w:hAnsi="仿宋" w:eastAsia="仿宋" w:cs="宋体"/>
          <w:kern w:val="0"/>
          <w:sz w:val="28"/>
          <w:szCs w:val="28"/>
        </w:rPr>
        <w:t>附件</w:t>
      </w:r>
      <w:r>
        <w:rPr>
          <w:rFonts w:ascii="仿宋" w:hAnsi="仿宋" w:eastAsia="仿宋" w:cs="宋体"/>
          <w:kern w:val="0"/>
          <w:sz w:val="28"/>
          <w:szCs w:val="28"/>
        </w:rPr>
        <w:t xml:space="preserve">6 </w:t>
      </w:r>
      <w:r>
        <w:rPr>
          <w:rFonts w:hint="eastAsia" w:ascii="仿宋" w:hAnsi="仿宋" w:eastAsia="仿宋" w:cs="宋体"/>
          <w:kern w:val="0"/>
          <w:sz w:val="28"/>
          <w:szCs w:val="28"/>
        </w:rPr>
        <w:t>石河子大学</w:t>
      </w:r>
      <w:r>
        <w:rPr>
          <w:rFonts w:ascii="仿宋" w:hAnsi="仿宋" w:eastAsia="仿宋" w:cs="宋体"/>
          <w:kern w:val="0"/>
          <w:sz w:val="28"/>
          <w:szCs w:val="28"/>
        </w:rPr>
        <w:t>青年教师教学竞赛评分标准</w:t>
      </w:r>
    </w:p>
    <w:p w14:paraId="3AB1B40E">
      <w:pPr>
        <w:widowControl/>
        <w:ind w:firstLine="539"/>
        <w:jc w:val="left"/>
        <w:rPr>
          <w:rFonts w:ascii="仿宋" w:hAnsi="仿宋" w:eastAsia="仿宋" w:cs="宋体"/>
          <w:kern w:val="0"/>
          <w:sz w:val="28"/>
          <w:szCs w:val="28"/>
        </w:rPr>
      </w:pPr>
    </w:p>
    <w:p w14:paraId="3A117DFD">
      <w:pPr>
        <w:widowControl/>
        <w:ind w:firstLine="539"/>
        <w:jc w:val="left"/>
        <w:rPr>
          <w:rFonts w:ascii="仿宋" w:hAnsi="仿宋" w:eastAsia="仿宋" w:cs="宋体"/>
          <w:kern w:val="0"/>
          <w:sz w:val="28"/>
          <w:szCs w:val="28"/>
        </w:rPr>
      </w:pPr>
    </w:p>
    <w:p w14:paraId="468B5636">
      <w:pPr>
        <w:widowControl/>
        <w:ind w:firstLine="539"/>
        <w:jc w:val="center"/>
        <w:rPr>
          <w:rFonts w:ascii="仿宋" w:hAnsi="仿宋" w:eastAsia="仿宋" w:cs="宋体"/>
          <w:kern w:val="0"/>
          <w:sz w:val="28"/>
          <w:szCs w:val="28"/>
        </w:rPr>
      </w:pPr>
      <w:r>
        <w:rPr>
          <w:rFonts w:hint="eastAsia" w:ascii="仿宋" w:hAnsi="仿宋" w:eastAsia="仿宋" w:cs="宋体"/>
          <w:kern w:val="0"/>
          <w:sz w:val="28"/>
          <w:szCs w:val="28"/>
        </w:rPr>
        <w:t xml:space="preserve"> </w:t>
      </w:r>
      <w:r>
        <w:rPr>
          <w:rFonts w:ascii="仿宋" w:hAnsi="仿宋" w:eastAsia="仿宋" w:cs="宋体"/>
          <w:kern w:val="0"/>
          <w:sz w:val="28"/>
          <w:szCs w:val="28"/>
        </w:rPr>
        <w:t xml:space="preserve">              </w:t>
      </w:r>
      <w:r>
        <w:rPr>
          <w:rFonts w:hint="eastAsia" w:ascii="仿宋" w:hAnsi="仿宋" w:eastAsia="仿宋" w:cs="宋体"/>
          <w:kern w:val="0"/>
          <w:sz w:val="28"/>
          <w:szCs w:val="28"/>
        </w:rPr>
        <w:t>石河子大学教学评估中心（教师发展中心）</w:t>
      </w:r>
    </w:p>
    <w:p w14:paraId="228F807A">
      <w:pPr>
        <w:widowControl/>
        <w:ind w:firstLine="539"/>
        <w:jc w:val="center"/>
        <w:rPr>
          <w:rFonts w:ascii="仿宋" w:hAnsi="仿宋" w:eastAsia="仿宋" w:cs="宋体"/>
          <w:kern w:val="0"/>
          <w:sz w:val="28"/>
          <w:szCs w:val="28"/>
        </w:rPr>
      </w:pPr>
      <w:r>
        <w:rPr>
          <w:rFonts w:ascii="仿宋" w:hAnsi="仿宋" w:eastAsia="仿宋" w:cs="宋体"/>
          <w:kern w:val="0"/>
          <w:sz w:val="28"/>
          <w:szCs w:val="28"/>
        </w:rPr>
        <w:t xml:space="preserve">                 </w:t>
      </w:r>
      <w:r>
        <w:rPr>
          <w:rFonts w:hint="eastAsia" w:ascii="仿宋" w:hAnsi="仿宋" w:eastAsia="仿宋" w:cs="宋体"/>
          <w:kern w:val="0"/>
          <w:sz w:val="28"/>
          <w:szCs w:val="28"/>
        </w:rPr>
        <w:t>2</w:t>
      </w:r>
      <w:r>
        <w:rPr>
          <w:rFonts w:ascii="仿宋" w:hAnsi="仿宋" w:eastAsia="仿宋" w:cs="宋体"/>
          <w:kern w:val="0"/>
          <w:sz w:val="28"/>
          <w:szCs w:val="28"/>
        </w:rPr>
        <w:t>02</w:t>
      </w:r>
      <w:r>
        <w:rPr>
          <w:rFonts w:hint="eastAsia" w:ascii="仿宋" w:hAnsi="仿宋" w:eastAsia="仿宋" w:cs="宋体"/>
          <w:kern w:val="0"/>
          <w:sz w:val="28"/>
          <w:szCs w:val="28"/>
          <w:lang w:val="en-US" w:eastAsia="zh-CN"/>
        </w:rPr>
        <w:t>5</w:t>
      </w:r>
      <w:r>
        <w:rPr>
          <w:rFonts w:hint="eastAsia" w:ascii="仿宋" w:hAnsi="仿宋" w:eastAsia="仿宋" w:cs="宋体"/>
          <w:kern w:val="0"/>
          <w:sz w:val="28"/>
          <w:szCs w:val="28"/>
        </w:rPr>
        <w:t>年</w:t>
      </w:r>
      <w:r>
        <w:rPr>
          <w:rFonts w:hint="eastAsia" w:ascii="仿宋" w:hAnsi="仿宋" w:eastAsia="仿宋" w:cs="宋体"/>
          <w:kern w:val="0"/>
          <w:sz w:val="28"/>
          <w:szCs w:val="28"/>
          <w:lang w:val="en-US" w:eastAsia="zh-CN"/>
        </w:rPr>
        <w:t>5</w:t>
      </w:r>
      <w:r>
        <w:rPr>
          <w:rFonts w:hint="eastAsia" w:ascii="仿宋" w:hAnsi="仿宋" w:eastAsia="仿宋" w:cs="宋体"/>
          <w:kern w:val="0"/>
          <w:sz w:val="28"/>
          <w:szCs w:val="28"/>
        </w:rPr>
        <w:t>月</w:t>
      </w:r>
      <w:r>
        <w:rPr>
          <w:rFonts w:hint="eastAsia" w:ascii="仿宋" w:hAnsi="仿宋" w:eastAsia="仿宋" w:cs="宋体"/>
          <w:kern w:val="0"/>
          <w:sz w:val="28"/>
          <w:szCs w:val="28"/>
          <w:lang w:val="en-US" w:eastAsia="zh-CN"/>
        </w:rPr>
        <w:t>8</w:t>
      </w:r>
      <w:r>
        <w:rPr>
          <w:rFonts w:hint="eastAsia" w:ascii="仿宋" w:hAnsi="仿宋" w:eastAsia="仿宋" w:cs="宋体"/>
          <w:kern w:val="0"/>
          <w:sz w:val="28"/>
          <w:szCs w:val="28"/>
        </w:rPr>
        <w:t>日</w:t>
      </w:r>
    </w:p>
    <w:p w14:paraId="5FE97CFB">
      <w:pPr>
        <w:widowControl/>
        <w:jc w:val="left"/>
        <w:rPr>
          <w:rFonts w:ascii="仿宋" w:hAnsi="仿宋" w:eastAsia="仿宋" w:cs="宋体"/>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1" w:fontKey="{724DC3E4-7CCB-4FD8-AB97-B02EB6D90AEB}"/>
  </w:font>
  <w:font w:name="方正小标宋简体">
    <w:panose1 w:val="02010601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2" w:fontKey="{DC4BA8BA-F7A5-43A9-AB6E-B47B01CC4D8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B24"/>
    <w:rsid w:val="000151BB"/>
    <w:rsid w:val="0002552A"/>
    <w:rsid w:val="000E0514"/>
    <w:rsid w:val="000E5D90"/>
    <w:rsid w:val="00111938"/>
    <w:rsid w:val="00192A19"/>
    <w:rsid w:val="003709B8"/>
    <w:rsid w:val="004F550E"/>
    <w:rsid w:val="005C3A5F"/>
    <w:rsid w:val="0077437A"/>
    <w:rsid w:val="00895B24"/>
    <w:rsid w:val="009638F1"/>
    <w:rsid w:val="00A72252"/>
    <w:rsid w:val="00A86F0E"/>
    <w:rsid w:val="00C2545C"/>
    <w:rsid w:val="00C34AFD"/>
    <w:rsid w:val="00D063A0"/>
    <w:rsid w:val="00D253C6"/>
    <w:rsid w:val="00D75285"/>
    <w:rsid w:val="00E1458C"/>
    <w:rsid w:val="00E5283B"/>
    <w:rsid w:val="00E67402"/>
    <w:rsid w:val="00E87D40"/>
    <w:rsid w:val="00F4575B"/>
    <w:rsid w:val="00FC6A6C"/>
    <w:rsid w:val="00FD19E4"/>
    <w:rsid w:val="153A7886"/>
    <w:rsid w:val="40A4180B"/>
    <w:rsid w:val="4BC80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link w:val="11"/>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Hyperlink"/>
    <w:basedOn w:val="6"/>
    <w:unhideWhenUsed/>
    <w:qFormat/>
    <w:uiPriority w:val="99"/>
    <w:rPr>
      <w:color w:val="0563C1" w:themeColor="hyperlink"/>
      <w:u w:val="single"/>
      <w14:textFill>
        <w14:solidFill>
          <w14:schemeClr w14:val="hlink"/>
        </w14:solidFill>
      </w14:textFill>
    </w:r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 w:type="character" w:customStyle="1" w:styleId="11">
    <w:name w:val="标题 3 字符"/>
    <w:basedOn w:val="6"/>
    <w:link w:val="2"/>
    <w:qFormat/>
    <w:uiPriority w:val="9"/>
    <w:rPr>
      <w:rFonts w:ascii="宋体" w:hAnsi="宋体" w:eastAsia="宋体" w:cs="宋体"/>
      <w:b/>
      <w:bCs/>
      <w:kern w:val="0"/>
      <w:sz w:val="27"/>
      <w:szCs w:val="27"/>
    </w:rPr>
  </w:style>
  <w:style w:type="character" w:customStyle="1" w:styleId="12">
    <w:name w:val="wp_visitcount"/>
    <w:basedOn w:val="6"/>
    <w:qFormat/>
    <w:uiPriority w:val="0"/>
  </w:style>
  <w:style w:type="paragraph" w:customStyle="1" w:styleId="13">
    <w:name w:val="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1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
    <w:name w:val="16"/>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6">
    <w:name w:val="Unresolved Mention"/>
    <w:basedOn w:val="6"/>
    <w:semiHidden/>
    <w:unhideWhenUsed/>
    <w:qFormat/>
    <w:uiPriority w:val="99"/>
    <w:rPr>
      <w:color w:val="605E5C"/>
      <w:shd w:val="clear" w:color="auto" w:fill="E1DFDD"/>
    </w:rPr>
  </w:style>
  <w:style w:type="paragraph" w:styleId="17">
    <w:name w:val="List Paragraph"/>
    <w:basedOn w:val="1"/>
    <w:qFormat/>
    <w:uiPriority w:val="34"/>
    <w:pPr>
      <w:ind w:firstLine="420" w:firstLineChars="200"/>
    </w:pPr>
  </w:style>
  <w:style w:type="character" w:customStyle="1" w:styleId="18">
    <w:name w:val="font81"/>
    <w:basedOn w:val="6"/>
    <w:qFormat/>
    <w:uiPriority w:val="0"/>
    <w:rPr>
      <w:rFonts w:hint="eastAsia" w:ascii="仿宋" w:hAnsi="仿宋" w:eastAsia="仿宋"/>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2152</Words>
  <Characters>2237</Characters>
  <Lines>17</Lines>
  <Paragraphs>4</Paragraphs>
  <TotalTime>0</TotalTime>
  <ScaleCrop>false</ScaleCrop>
  <LinksUpToDate>false</LinksUpToDate>
  <CharactersWithSpaces>2288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2023-11-03T03:36:00Z</dcterms:created>
  <dc:creator>TYST</dc:creator>
  <cp:lastModifiedBy>魏雪娇</cp:lastModifiedBy>
  <cp:lastPrinted>2023-11-02T12:07:00Z</cp:lastPrinted>
  <dcterms:modified xsi:type="dcterms:W3CDTF">2025-05-14T05:35:41Z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eyJoZGlkIjoiNTFmZjUwZjBkZTkwNTJhMmE0NjE2MGIzZGVkNDk4NzYiLCJ1c2VySWQiOiIxNDQ3NTkxMjgzIn0=</vt:lpwstr>
  </property>
  <property fmtid="{D5CDD505-2E9C-101B-9397-08002B2CF9AE}" pid="3" name="KSOProductBuildVer">
    <vt:lpwstr>2052-12.1.0.21171</vt:lpwstr>
  </property>
  <property fmtid="{D5CDD505-2E9C-101B-9397-08002B2CF9AE}" pid="4" name="ICV">
    <vt:lpwstr>C16CCE25D75C42C48EF400ACBDDB745E_13</vt:lpwstr>
  </property>
</Properties>
</file>